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40" w:lineRule="exact"/>
        <w:rPr>
          <w:rFonts w:hint="default" w:ascii="Times New Roman" w:hAnsi="Times New Roman" w:cs="Times New Roman"/>
          <w:b/>
          <w:bCs/>
          <w:kern w:val="0"/>
          <w:sz w:val="44"/>
          <w:szCs w:val="44"/>
          <w:lang w:val="zh-CN"/>
        </w:rPr>
      </w:pPr>
    </w:p>
    <w:tbl>
      <w:tblPr>
        <w:tblStyle w:val="8"/>
        <w:tblW w:w="9433" w:type="dxa"/>
        <w:jc w:val="center"/>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0"/>
        <w:gridCol w:w="2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0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1100" w:lineRule="exact"/>
              <w:jc w:val="distribute"/>
              <w:textAlignment w:val="auto"/>
              <w:outlineLvl w:val="9"/>
              <w:rPr>
                <w:rFonts w:hint="default" w:ascii="Times New Roman" w:hAnsi="Times New Roman" w:eastAsia="文星标宋" w:cs="Times New Roman"/>
                <w:b w:val="0"/>
                <w:bCs w:val="0"/>
                <w:color w:val="FF0000"/>
                <w:w w:val="65"/>
                <w:kern w:val="0"/>
                <w:sz w:val="100"/>
                <w:szCs w:val="100"/>
                <w:lang w:val="zh-CN"/>
              </w:rPr>
            </w:pPr>
            <w:bookmarkStart w:id="0" w:name="_GoBack"/>
            <w:r>
              <w:rPr>
                <w:rFonts w:hint="default" w:ascii="Times New Roman" w:hAnsi="Times New Roman" w:eastAsia="文星标宋" w:cs="Times New Roman"/>
                <w:b w:val="0"/>
                <w:bCs w:val="0"/>
                <w:color w:val="FF0000"/>
                <w:w w:val="65"/>
                <w:kern w:val="0"/>
                <w:sz w:val="100"/>
                <w:szCs w:val="100"/>
                <w:lang w:val="zh-CN"/>
              </w:rPr>
              <w:t>临沂市社会科学界联合会</w:t>
            </w:r>
          </w:p>
          <w:p>
            <w:pPr>
              <w:keepNext w:val="0"/>
              <w:keepLines w:val="0"/>
              <w:pageBreakBefore w:val="0"/>
              <w:widowControl w:val="0"/>
              <w:kinsoku/>
              <w:wordWrap/>
              <w:overflowPunct/>
              <w:topLinePunct w:val="0"/>
              <w:autoSpaceDE w:val="0"/>
              <w:autoSpaceDN w:val="0"/>
              <w:bidi w:val="0"/>
              <w:adjustRightInd w:val="0"/>
              <w:snapToGrid/>
              <w:spacing w:line="1100" w:lineRule="exact"/>
              <w:jc w:val="distribute"/>
              <w:textAlignment w:val="auto"/>
              <w:outlineLvl w:val="9"/>
              <w:rPr>
                <w:rFonts w:hint="default" w:ascii="Times New Roman" w:hAnsi="Times New Roman" w:eastAsia="文星标宋" w:cs="Times New Roman"/>
                <w:b w:val="0"/>
                <w:bCs w:val="0"/>
                <w:color w:val="FF0000"/>
                <w:w w:val="65"/>
                <w:kern w:val="0"/>
                <w:sz w:val="100"/>
                <w:szCs w:val="100"/>
                <w:lang w:val="zh-CN" w:eastAsia="zh-CN"/>
              </w:rPr>
            </w:pPr>
            <w:r>
              <w:rPr>
                <w:rFonts w:hint="default" w:ascii="Times New Roman" w:hAnsi="Times New Roman" w:eastAsia="文星标宋" w:cs="Times New Roman"/>
                <w:b w:val="0"/>
                <w:bCs w:val="0"/>
                <w:color w:val="FF0000"/>
                <w:w w:val="65"/>
                <w:kern w:val="0"/>
                <w:sz w:val="100"/>
                <w:szCs w:val="100"/>
                <w:lang w:val="zh-CN" w:eastAsia="zh-CN"/>
              </w:rPr>
              <w:t>临沂市社会科学院</w:t>
            </w:r>
            <w:bookmarkEnd w:id="0"/>
          </w:p>
        </w:tc>
        <w:tc>
          <w:tcPr>
            <w:tcW w:w="20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文星标宋" w:cs="Times New Roman"/>
                <w:b w:val="0"/>
                <w:bCs w:val="0"/>
                <w:color w:val="FF0000"/>
                <w:kern w:val="0"/>
                <w:sz w:val="84"/>
                <w:szCs w:val="84"/>
                <w:vertAlign w:val="baseline"/>
                <w:lang w:val="zh-CN"/>
              </w:rPr>
            </w:pPr>
            <w:r>
              <w:rPr>
                <w:rFonts w:hint="default" w:ascii="Times New Roman" w:hAnsi="Times New Roman" w:eastAsia="文星标宋" w:cs="Times New Roman"/>
                <w:b w:val="0"/>
                <w:bCs w:val="0"/>
                <w:color w:val="FF0000"/>
                <w:w w:val="75"/>
                <w:kern w:val="0"/>
                <w:sz w:val="120"/>
                <w:szCs w:val="120"/>
                <w:lang w:val="zh-CN"/>
              </w:rPr>
              <w:t>文件</w:t>
            </w:r>
          </w:p>
        </w:tc>
      </w:tr>
    </w:tbl>
    <w:p>
      <w:pPr>
        <w:keepNext w:val="0"/>
        <w:keepLines w:val="0"/>
        <w:pageBreakBefore w:val="0"/>
        <w:widowControl w:val="0"/>
        <w:kinsoku/>
        <w:wordWrap/>
        <w:overflowPunct/>
        <w:topLinePunct w:val="0"/>
        <w:autoSpaceDE/>
        <w:autoSpaceDN/>
        <w:bidi w:val="0"/>
        <w:adjustRightInd w:val="0"/>
        <w:snapToGrid w:val="0"/>
        <w:spacing w:line="520" w:lineRule="atLeast"/>
        <w:ind w:firstLine="160" w:firstLineChars="50"/>
        <w:jc w:val="center"/>
        <w:textAlignment w:val="auto"/>
        <w:outlineLvl w:val="9"/>
        <w:rPr>
          <w:rFonts w:hint="default" w:ascii="Times New Roman" w:hAnsi="Times New Roman" w:eastAsia="楷体_GB2312"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ind w:firstLine="160" w:firstLineChars="50"/>
        <w:jc w:val="center"/>
        <w:textAlignment w:val="auto"/>
        <w:outlineLvl w:val="9"/>
        <w:rPr>
          <w:rFonts w:hint="default" w:ascii="Times New Roman" w:hAnsi="Times New Roman" w:eastAsia="仿宋_GB2312" w:cs="Times New Roman"/>
          <w:b w:val="0"/>
          <w:bCs/>
          <w:color w:val="auto"/>
          <w:sz w:val="32"/>
          <w:szCs w:val="32"/>
          <w:lang w:eastAsia="zh-CN"/>
        </w:rPr>
      </w:pPr>
    </w:p>
    <w:p>
      <w:pPr>
        <w:adjustRightInd w:val="0"/>
        <w:snapToGrid w:val="0"/>
        <w:spacing w:line="580" w:lineRule="atLeast"/>
        <w:ind w:left="0" w:leftChars="0" w:firstLine="0" w:firstLineChars="0"/>
        <w:jc w:val="center"/>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临社联字</w:t>
      </w:r>
      <w:r>
        <w:rPr>
          <w:rFonts w:hint="default" w:ascii="Times New Roman" w:hAnsi="Times New Roman" w:eastAsia="仿宋_GB2312" w:cs="Times New Roman"/>
          <w:color w:val="auto"/>
          <w:sz w:val="32"/>
          <w:szCs w:val="32"/>
          <w:shd w:val="clear" w:color="auto" w:fill="FFFFFF"/>
        </w:rPr>
        <w:t>〔201</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b w:val="0"/>
          <w:bCs/>
          <w:color w:val="auto"/>
          <w:sz w:val="32"/>
          <w:szCs w:val="32"/>
          <w:lang w:val="en-US" w:eastAsia="zh-CN"/>
        </w:rPr>
        <w:t>3号</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cs="Times New Roman"/>
          <w:color w:val="auto"/>
          <w:shd w:val="clear" w:color="auto" w:fill="FFFFFF"/>
        </w:rPr>
      </w:pPr>
      <w:r>
        <w:rPr>
          <w:rFonts w:hint="default" w:ascii="Times New Roman" w:hAnsi="Times New Roman" w:cs="Times New Roman"/>
          <w:color w:val="auto"/>
        </w:rPr>
        <w:pict>
          <v:line id="_x0000_s1026" o:spid="_x0000_s1026" o:spt="20" style="position:absolute;left:0pt;margin-left:-4.5pt;margin-top:4.15pt;height:0pt;width:450pt;z-index:251658240;mso-width-relative:page;mso-height-relative:page;" filled="f" stroked="t" coordsize="21600,21600">
            <v:path arrowok="t"/>
            <v:fill on="f" focussize="0,0"/>
            <v:stroke weight="1.75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关于印发《临沂市社会科学规划研究项目</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2019年度课题指南》的通知</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各县区社科联、各市级社科类社会组织，市直有关部门、单位：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新时代中国特色社会主义思想，指导广大社科工作者围绕全市经济社会发展重大理论与实践问题开展研究，为党委政府和有关部门决策提供有价值的研究成果，现将《临沂市社会科学规划研究项目2019年度课题指南》（以下简称《课题指南》）印发给你们，供社科研究及有关人员参考。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课题指南》中的题目，是方向性条目，申请人可以以此为研究范围和方向，自行设计具体题目。同时，只要符合《课题指南》的指导思想和基本要求，鼓励申请人根据研究专长和学术积累申报自选课题。课题名称的表述应科学、严谨、规范、简明。申请人应填写《临沂市社会科学规划研究项目2019年度课题立项申报表》（以下简称《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2.鼓励应用对策性研究。无论是按《课题指南》拟定的选题还是自选课题，申请者都要紧紧围绕临沂经济社会发展的现实问题申报课题并开展研究。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3.本年度设立</w:t>
      </w:r>
      <w:r>
        <w:rPr>
          <w:rFonts w:hint="default" w:ascii="Times New Roman" w:hAnsi="Times New Roman" w:eastAsia="仿宋_GB2312" w:cs="Times New Roman"/>
          <w:b/>
          <w:sz w:val="32"/>
          <w:szCs w:val="32"/>
        </w:rPr>
        <w:t>资助课题</w:t>
      </w:r>
      <w:r>
        <w:rPr>
          <w:rFonts w:hint="default" w:ascii="Times New Roman" w:hAnsi="Times New Roman" w:eastAsia="仿宋_GB2312" w:cs="Times New Roman"/>
          <w:sz w:val="32"/>
          <w:szCs w:val="32"/>
        </w:rPr>
        <w:t>。凡通过立项评审，或者通过市社科联委托的形式获得立项资格，被确定为资助课题的，成果完成后通过结项评审，给予一定资金扶持；被市委市政府主要领导作出肯定性签批的研究成果，再给予一定资金扶持。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4.本年度设立“新时代习近平中国特色社会主义思想在临沂的践行”“沂蒙精神研究”专项课题，并分别确定7项、5项资助课题。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5.申报资助课题和专项课题的，需在《申报表》封面注明。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临沂市社会科学规划研究项目2018年度课题”立项课题作者，无故未参加当年度结项申报评审的，或者被评为“暂缓结题”的，不能申报临沂市社会科学规划研究项目2019年度课题；被评为“不予结题”的，不能申报资助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7.本年度不再设立</w:t>
      </w:r>
      <w:r>
        <w:rPr>
          <w:rFonts w:hint="default" w:ascii="Times New Roman" w:hAnsi="Times New Roman" w:eastAsia="仿宋_GB2312" w:cs="Times New Roman"/>
          <w:b/>
          <w:sz w:val="32"/>
          <w:szCs w:val="32"/>
        </w:rPr>
        <w:t>教学类课题</w:t>
      </w:r>
      <w:r>
        <w:rPr>
          <w:rFonts w:hint="default" w:ascii="Times New Roman" w:hAnsi="Times New Roman" w:eastAsia="仿宋_GB2312" w:cs="Times New Roman"/>
          <w:sz w:val="32"/>
          <w:szCs w:val="32"/>
        </w:rPr>
        <w:t>，不再接受中高等、中小学教学类课题的立项申报，教育改革发展类课题可以继续申报。教育改革发展类课题申报时，县区的申报者需将《申报表》及电子版报送所在县区社科联，由县区社科联审核把关后，统一报市社科联。每县区限报十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z w:val="32"/>
          <w:szCs w:val="32"/>
        </w:rPr>
        <w:t>8.市委党校、各高等院校及中高职院校的申报工作，由学校</w:t>
      </w:r>
      <w:r>
        <w:rPr>
          <w:rFonts w:hint="default" w:ascii="Times New Roman" w:hAnsi="Times New Roman" w:eastAsia="仿宋_GB2312" w:cs="Times New Roman"/>
          <w:spacing w:val="0"/>
          <w:w w:val="100"/>
          <w:sz w:val="32"/>
          <w:szCs w:val="32"/>
        </w:rPr>
        <w:t>社科处（科研处）统一组织。县区申报工作，由县区社科联统一组织。市直部门单位人员可以自行申报，也可以由单位统一组织申报。所有申报材料请于3月30日前报市社科联，纸质材料请打印三份，电子版发学会部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材料报送地址：北城新区算圣路市文化中心1215室，联系电话：8727633，电子邮箱：sklxhb</w:t>
      </w:r>
      <w:r>
        <w:rPr>
          <w:rFonts w:hint="default" w:ascii="Times New Roman" w:hAnsi="Times New Roman" w:cs="Times New Roman" w:eastAsiaTheme="majorEastAsia"/>
          <w:spacing w:val="0"/>
          <w:w w:val="100"/>
          <w:sz w:val="32"/>
          <w:szCs w:val="32"/>
        </w:rPr>
        <w:t>@</w:t>
      </w:r>
      <w:r>
        <w:rPr>
          <w:rFonts w:hint="default" w:ascii="Times New Roman" w:hAnsi="Times New Roman" w:eastAsia="仿宋_GB2312" w:cs="Times New Roman"/>
          <w:spacing w:val="0"/>
          <w:w w:val="100"/>
          <w:sz w:val="32"/>
          <w:szCs w:val="32"/>
        </w:rPr>
        <w:t>ly.shandong.cn。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附</w:t>
      </w:r>
      <w:r>
        <w:rPr>
          <w:rFonts w:hint="default" w:ascii="Times New Roman" w:hAnsi="Times New Roman" w:eastAsia="仿宋_GB2312" w:cs="Times New Roman"/>
          <w:spacing w:val="0"/>
          <w:w w:val="100"/>
          <w:sz w:val="32"/>
          <w:szCs w:val="32"/>
          <w:lang w:eastAsia="zh-CN"/>
        </w:rPr>
        <w:t>件</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1、临沂市社会科学规划研究项目2019年度课题指南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2、临沂市社会科学规划研究项目2019年度课题立项申报表</w:t>
      </w:r>
    </w:p>
    <w:p>
      <w:pPr>
        <w:keepNext w:val="0"/>
        <w:keepLines w:val="0"/>
        <w:pageBreakBefore w:val="0"/>
        <w:widowControl w:val="0"/>
        <w:kinsoku/>
        <w:wordWrap/>
        <w:overflowPunct/>
        <w:topLinePunct w:val="0"/>
        <w:autoSpaceDE/>
        <w:autoSpaceDN/>
        <w:bidi w:val="0"/>
        <w:adjustRightInd/>
        <w:snapToGrid/>
        <w:spacing w:line="600" w:lineRule="exact"/>
        <w:ind w:firstLine="1440" w:firstLineChars="45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440" w:firstLineChars="45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300" distR="114300" simplePos="0" relativeHeight="251663360" behindDoc="1" locked="0" layoutInCell="1" allowOverlap="1">
            <wp:simplePos x="0" y="0"/>
            <wp:positionH relativeFrom="column">
              <wp:posOffset>949960</wp:posOffset>
            </wp:positionH>
            <wp:positionV relativeFrom="paragraph">
              <wp:posOffset>200025</wp:posOffset>
            </wp:positionV>
            <wp:extent cx="1438910" cy="1438910"/>
            <wp:effectExtent l="0" t="0" r="8890" b="8890"/>
            <wp:wrapNone/>
            <wp:docPr id="2" name="图片 2" descr="临沂市社会科学界联合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临沂市社会科学界联合会"/>
                    <pic:cNvPicPr>
                      <a:picLocks noChangeAspect="1"/>
                    </pic:cNvPicPr>
                  </pic:nvPicPr>
                  <pic:blipFill>
                    <a:blip r:embed="rId7"/>
                    <a:stretch>
                      <a:fillRect/>
                    </a:stretch>
                  </pic:blipFill>
                  <pic:spPr>
                    <a:xfrm>
                      <a:off x="0" y="0"/>
                      <a:ext cx="1438910" cy="1438910"/>
                    </a:xfrm>
                    <a:prstGeom prst="rect">
                      <a:avLst/>
                    </a:prstGeom>
                  </pic:spPr>
                </pic:pic>
              </a:graphicData>
            </a:graphic>
          </wp:anchor>
        </w:drawing>
      </w:r>
      <w:r>
        <w:rPr>
          <w:rFonts w:hint="eastAsia" w:ascii="Times New Roman" w:hAnsi="Times New Roman" w:eastAsia="仿宋_GB2312" w:cs="Times New Roman"/>
          <w:sz w:val="32"/>
          <w:szCs w:val="32"/>
          <w:lang w:eastAsia="zh-CN"/>
        </w:rPr>
        <w:drawing>
          <wp:anchor distT="0" distB="0" distL="114300" distR="114300" simplePos="0" relativeHeight="251664384" behindDoc="1" locked="0" layoutInCell="1" allowOverlap="1">
            <wp:simplePos x="0" y="0"/>
            <wp:positionH relativeFrom="column">
              <wp:posOffset>3582035</wp:posOffset>
            </wp:positionH>
            <wp:positionV relativeFrom="paragraph">
              <wp:posOffset>247650</wp:posOffset>
            </wp:positionV>
            <wp:extent cx="1438910" cy="1438910"/>
            <wp:effectExtent l="0" t="0" r="8890" b="8890"/>
            <wp:wrapNone/>
            <wp:docPr id="1" name="图片 1" descr="临沂市社会科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临沂市社会科学院"/>
                    <pic:cNvPicPr>
                      <a:picLocks noChangeAspect="1"/>
                    </pic:cNvPicPr>
                  </pic:nvPicPr>
                  <pic:blipFill>
                    <a:blip r:embed="rId8"/>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1440" w:firstLineChars="45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临沂市社会科学界联合会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临沂市社会科学院</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2019年3月12日</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临沂市社科研究规划项目2019年度课题指南</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一、重点课题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1、我市强力推进新旧动能转换加快实现高质量发展研究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2、我市大力实施乡村振兴战略研究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3、“一城引领”全市经济社会发展研究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4、我市防范和化解重大风险问题研究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5、临沂东部国际生态城规划建设研究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6、全市高端不锈钢与先进特钢产业基地建设研究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7、临沂国际陆港建设研究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8、我市建设区域性进口商品分拨中心研究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9、我市当前“扫黑除恶”存在的突出问题及对策建议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10、我市开发区机制创新问题研究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二、专项课题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（一）“习近平新时代中国特色社会主义思想在临沂的践行研究”专项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（二）“沂蒙精神研究”专项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1、沂蒙精神融入新时代发展实践研究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2、新时代弘扬沂蒙精神传承红色基因路径探索与创新研究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3、科学规划设置临沂城市红色标识打造革命之城光荣之城红色之城研究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4、临沂红色文化资源育人和产业化转化问题研究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5、提升沂蒙精神理论层次与影响层次问题研究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6、以沂蒙精神深化“不忘初心牢记使命”教育研究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7、培育新时代沂蒙精神“标志性文化符号”研究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8、用沂蒙精神开展儿童启蒙教育研究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三、一般课题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1、我市推进中心城区由“一河为轴”迈向“两河时代”打造区域特大中心城市战略研究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2、我市构建立体大交通格局助推国际商贸物流城建设研究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3、当前我市营商环境存在的突出问题调查分析及对策建议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4、加快建设“品牌临沂”战略研究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5、我市加快建设区域性会展中心城市研究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bCs/>
          <w:sz w:val="32"/>
          <w:szCs w:val="32"/>
        </w:rPr>
        <w:t>优化提升临沂“双招双引”机制对策研究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7、我市参与“一带一路”现状及发展趋势研究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8、我市破解实体经济融资难融资贵问题研究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9、将高铁片区打造成临沂经济发展新引擎研究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10、发展智慧仓储助推临沂现代物流建设研究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11、我市当前乡村旅游发展面临问题分析及对策建议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12、创新养老服务模式推进临沂“大健康”产业发展研究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13、新时代社会主义核心价值观在临沂创新实践研究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14、我市加强社会信用体系建设研究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15、我市保障和改善民生建设“四个家园”研究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16、我市扶贫攻坚长效机制建设研究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17、新时代临沂党建工作创新研究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18、基于数据分析的当前我市农村干部腐败问题研究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19、临沂对外宣传与城市标识语言规范化研究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20、学习贯彻习近平对大众日报批示精神提升全市宣传思想工作质量水平研究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21、完善我市重大舆情事件协同应对机制研究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22、我市志愿服务问题研究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23、“一城引领”大数据中心建设研究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24、提升服务水平破解群众生活中热点难点堵点问题研究</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——基于12345大数据分析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25、解决城市交通拥堵建设“畅通临沂”研究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26、我市食品安全领域突出问题及对策建议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27、我市严守生态保护红线面临的突出问题及对策建议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28、吸引高素质人才来临沂创业就业研究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29、沂蒙优秀传统文化传承弘扬、转化发展问题研究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30、我市加快高校建设服务临沂发展研究</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附件2</w:t>
      </w:r>
      <w:r>
        <w:rPr>
          <w:rFonts w:hint="default" w:ascii="Times New Roman" w:hAnsi="Times New Roman" w:eastAsia="黑体" w:cs="Times New Roman"/>
          <w:sz w:val="32"/>
          <w:szCs w:val="32"/>
          <w:lang w:eastAsia="zh-CN"/>
        </w:rPr>
        <w:t>：</w:t>
      </w:r>
    </w:p>
    <w:p>
      <w:pPr>
        <w:spacing w:line="560" w:lineRule="exact"/>
        <w:rPr>
          <w:rFonts w:hint="default" w:ascii="Times New Roman" w:hAnsi="Times New Roman" w:eastAsia="仿宋_GB2312" w:cs="Times New Roman"/>
          <w:b/>
          <w:sz w:val="32"/>
          <w:szCs w:val="32"/>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临沂市社会科学规划研究项目</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2019年度课题立项申报表</w:t>
      </w:r>
    </w:p>
    <w:p>
      <w:pPr>
        <w:spacing w:line="560" w:lineRule="exact"/>
        <w:rPr>
          <w:rFonts w:hint="default" w:ascii="Times New Roman" w:hAnsi="Times New Roman" w:eastAsia="仿宋_GB2312" w:cs="Times New Roman"/>
          <w:sz w:val="32"/>
          <w:szCs w:val="32"/>
        </w:rPr>
      </w:pPr>
    </w:p>
    <w:tbl>
      <w:tblPr>
        <w:tblStyle w:val="7"/>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4"/>
        <w:gridCol w:w="1080"/>
        <w:gridCol w:w="133"/>
        <w:gridCol w:w="1444"/>
        <w:gridCol w:w="232"/>
        <w:gridCol w:w="1080"/>
        <w:gridCol w:w="1080"/>
        <w:gridCol w:w="108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877" w:type="dxa"/>
            <w:gridSpan w:val="2"/>
            <w:vMerge w:val="restart"/>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课题名称</w:t>
            </w:r>
          </w:p>
        </w:tc>
        <w:tc>
          <w:tcPr>
            <w:tcW w:w="7007" w:type="dxa"/>
            <w:gridSpan w:val="8"/>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指南中的课题：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877" w:type="dxa"/>
            <w:gridSpan w:val="2"/>
            <w:vMerge w:val="continue"/>
            <w:vAlign w:val="center"/>
          </w:tcPr>
          <w:p>
            <w:pPr>
              <w:spacing w:line="560" w:lineRule="exact"/>
              <w:rPr>
                <w:rFonts w:hint="default" w:ascii="Times New Roman" w:hAnsi="Times New Roman" w:eastAsia="仿宋_GB2312" w:cs="Times New Roman"/>
                <w:sz w:val="32"/>
                <w:szCs w:val="32"/>
              </w:rPr>
            </w:pPr>
          </w:p>
        </w:tc>
        <w:tc>
          <w:tcPr>
            <w:tcW w:w="7007" w:type="dxa"/>
            <w:gridSpan w:val="8"/>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按照指南拟定的课题：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877" w:type="dxa"/>
            <w:gridSpan w:val="2"/>
            <w:vMerge w:val="restart"/>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课题负责人</w:t>
            </w:r>
          </w:p>
        </w:tc>
        <w:tc>
          <w:tcPr>
            <w:tcW w:w="1080" w:type="dxa"/>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809" w:type="dxa"/>
            <w:gridSpan w:val="3"/>
            <w:vAlign w:val="center"/>
          </w:tcPr>
          <w:p>
            <w:pPr>
              <w:spacing w:line="560" w:lineRule="exact"/>
              <w:rPr>
                <w:rFonts w:hint="default" w:ascii="Times New Roman" w:hAnsi="Times New Roman" w:eastAsia="仿宋_GB2312" w:cs="Times New Roman"/>
                <w:sz w:val="32"/>
                <w:szCs w:val="32"/>
              </w:rPr>
            </w:pPr>
          </w:p>
        </w:tc>
        <w:tc>
          <w:tcPr>
            <w:tcW w:w="1080" w:type="dxa"/>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性别</w:t>
            </w:r>
          </w:p>
        </w:tc>
        <w:tc>
          <w:tcPr>
            <w:tcW w:w="1080" w:type="dxa"/>
            <w:vAlign w:val="center"/>
          </w:tcPr>
          <w:p>
            <w:pPr>
              <w:spacing w:line="560" w:lineRule="exact"/>
              <w:rPr>
                <w:rFonts w:hint="default" w:ascii="Times New Roman" w:hAnsi="Times New Roman" w:eastAsia="仿宋_GB2312" w:cs="Times New Roman"/>
                <w:sz w:val="32"/>
                <w:szCs w:val="32"/>
              </w:rPr>
            </w:pPr>
          </w:p>
        </w:tc>
        <w:tc>
          <w:tcPr>
            <w:tcW w:w="1080" w:type="dxa"/>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年龄</w:t>
            </w:r>
          </w:p>
        </w:tc>
        <w:tc>
          <w:tcPr>
            <w:tcW w:w="878" w:type="dxa"/>
            <w:vAlign w:val="center"/>
          </w:tcPr>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877" w:type="dxa"/>
            <w:gridSpan w:val="2"/>
            <w:vMerge w:val="continue"/>
            <w:vAlign w:val="center"/>
          </w:tcPr>
          <w:p>
            <w:pPr>
              <w:spacing w:line="560" w:lineRule="exact"/>
              <w:rPr>
                <w:rFonts w:hint="default" w:ascii="Times New Roman" w:hAnsi="Times New Roman" w:eastAsia="仿宋_GB2312" w:cs="Times New Roman"/>
                <w:sz w:val="32"/>
                <w:szCs w:val="32"/>
              </w:rPr>
            </w:pPr>
          </w:p>
        </w:tc>
        <w:tc>
          <w:tcPr>
            <w:tcW w:w="7007" w:type="dxa"/>
            <w:gridSpan w:val="8"/>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工作单位及职称职务：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77" w:type="dxa"/>
            <w:gridSpan w:val="2"/>
            <w:vMerge w:val="restart"/>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课题组成员</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（姓名、工作单位及职称职务）</w:t>
            </w:r>
          </w:p>
        </w:tc>
        <w:tc>
          <w:tcPr>
            <w:tcW w:w="1213" w:type="dxa"/>
            <w:gridSpan w:val="2"/>
            <w:vAlign w:val="center"/>
          </w:tcPr>
          <w:p>
            <w:pPr>
              <w:spacing w:line="560" w:lineRule="exact"/>
              <w:rPr>
                <w:rFonts w:hint="default" w:ascii="Times New Roman" w:hAnsi="Times New Roman" w:eastAsia="仿宋_GB2312" w:cs="Times New Roman"/>
                <w:sz w:val="32"/>
                <w:szCs w:val="32"/>
              </w:rPr>
            </w:pPr>
          </w:p>
        </w:tc>
        <w:tc>
          <w:tcPr>
            <w:tcW w:w="5794" w:type="dxa"/>
            <w:gridSpan w:val="6"/>
            <w:vAlign w:val="center"/>
          </w:tcPr>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877" w:type="dxa"/>
            <w:gridSpan w:val="2"/>
            <w:vMerge w:val="continue"/>
            <w:vAlign w:val="center"/>
          </w:tcPr>
          <w:p>
            <w:pPr>
              <w:spacing w:line="560" w:lineRule="exact"/>
              <w:rPr>
                <w:rFonts w:hint="default" w:ascii="Times New Roman" w:hAnsi="Times New Roman" w:eastAsia="仿宋_GB2312" w:cs="Times New Roman"/>
                <w:sz w:val="32"/>
                <w:szCs w:val="32"/>
              </w:rPr>
            </w:pPr>
          </w:p>
        </w:tc>
        <w:tc>
          <w:tcPr>
            <w:tcW w:w="1213" w:type="dxa"/>
            <w:gridSpan w:val="2"/>
            <w:vAlign w:val="center"/>
          </w:tcPr>
          <w:p>
            <w:pPr>
              <w:spacing w:line="560" w:lineRule="exact"/>
              <w:rPr>
                <w:rFonts w:hint="default" w:ascii="Times New Roman" w:hAnsi="Times New Roman" w:eastAsia="仿宋_GB2312" w:cs="Times New Roman"/>
                <w:sz w:val="32"/>
                <w:szCs w:val="32"/>
              </w:rPr>
            </w:pPr>
          </w:p>
        </w:tc>
        <w:tc>
          <w:tcPr>
            <w:tcW w:w="5794" w:type="dxa"/>
            <w:gridSpan w:val="6"/>
            <w:vAlign w:val="center"/>
          </w:tcPr>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Merge w:val="continue"/>
            <w:vAlign w:val="center"/>
          </w:tcPr>
          <w:p>
            <w:pPr>
              <w:spacing w:line="560" w:lineRule="exact"/>
              <w:rPr>
                <w:rFonts w:hint="default" w:ascii="Times New Roman" w:hAnsi="Times New Roman" w:eastAsia="仿宋_GB2312" w:cs="Times New Roman"/>
                <w:sz w:val="32"/>
                <w:szCs w:val="32"/>
              </w:rPr>
            </w:pPr>
          </w:p>
        </w:tc>
        <w:tc>
          <w:tcPr>
            <w:tcW w:w="1213" w:type="dxa"/>
            <w:gridSpan w:val="2"/>
            <w:vAlign w:val="center"/>
          </w:tcPr>
          <w:p>
            <w:pPr>
              <w:spacing w:line="560" w:lineRule="exact"/>
              <w:rPr>
                <w:rFonts w:hint="default" w:ascii="Times New Roman" w:hAnsi="Times New Roman" w:eastAsia="仿宋_GB2312" w:cs="Times New Roman"/>
                <w:sz w:val="32"/>
                <w:szCs w:val="32"/>
              </w:rPr>
            </w:pPr>
          </w:p>
        </w:tc>
        <w:tc>
          <w:tcPr>
            <w:tcW w:w="5794" w:type="dxa"/>
            <w:gridSpan w:val="6"/>
            <w:vAlign w:val="center"/>
          </w:tcPr>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877" w:type="dxa"/>
            <w:gridSpan w:val="2"/>
            <w:vMerge w:val="continue"/>
            <w:vAlign w:val="center"/>
          </w:tcPr>
          <w:p>
            <w:pPr>
              <w:spacing w:line="560" w:lineRule="exact"/>
              <w:rPr>
                <w:rFonts w:hint="default" w:ascii="Times New Roman" w:hAnsi="Times New Roman" w:eastAsia="仿宋_GB2312" w:cs="Times New Roman"/>
                <w:sz w:val="32"/>
                <w:szCs w:val="32"/>
              </w:rPr>
            </w:pPr>
          </w:p>
        </w:tc>
        <w:tc>
          <w:tcPr>
            <w:tcW w:w="1213" w:type="dxa"/>
            <w:gridSpan w:val="2"/>
            <w:vAlign w:val="center"/>
          </w:tcPr>
          <w:p>
            <w:pPr>
              <w:spacing w:line="560" w:lineRule="exact"/>
              <w:rPr>
                <w:rFonts w:hint="default" w:ascii="Times New Roman" w:hAnsi="Times New Roman" w:eastAsia="仿宋_GB2312" w:cs="Times New Roman"/>
                <w:sz w:val="32"/>
                <w:szCs w:val="32"/>
              </w:rPr>
            </w:pPr>
          </w:p>
        </w:tc>
        <w:tc>
          <w:tcPr>
            <w:tcW w:w="5794" w:type="dxa"/>
            <w:gridSpan w:val="6"/>
            <w:vAlign w:val="center"/>
          </w:tcPr>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4" w:type="dxa"/>
            <w:gridSpan w:val="10"/>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联系方式（电话、电子信箱等）：</w:t>
            </w:r>
          </w:p>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884" w:type="dxa"/>
            <w:gridSpan w:val="10"/>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863" w:type="dxa"/>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成果形式</w:t>
            </w:r>
          </w:p>
        </w:tc>
        <w:tc>
          <w:tcPr>
            <w:tcW w:w="7021" w:type="dxa"/>
            <w:gridSpan w:val="9"/>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1、研究报告□  2、学术论文□  3、专著□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863" w:type="dxa"/>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申报类型</w:t>
            </w:r>
          </w:p>
        </w:tc>
        <w:tc>
          <w:tcPr>
            <w:tcW w:w="7021" w:type="dxa"/>
            <w:gridSpan w:val="9"/>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1、资助课题□  2、一般课题□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3、专项课题  a 习近平新时代中国特色社会主义在临沂的践行研究□    b沂蒙精神研究□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884" w:type="dxa"/>
            <w:gridSpan w:val="10"/>
            <w:vAlign w:val="center"/>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研究方案（目标、内容、方法、创新点等，可加页）：</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4534" w:type="dxa"/>
            <w:gridSpan w:val="5"/>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呈报单位意见（章）：</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c>
          <w:tcPr>
            <w:tcW w:w="4350" w:type="dxa"/>
            <w:gridSpan w:val="5"/>
          </w:tcPr>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审批意见：</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spacing w:line="560" w:lineRule="exact"/>
              <w:rPr>
                <w:rFonts w:hint="default" w:ascii="Times New Roman" w:hAnsi="Times New Roman" w:eastAsia="仿宋_GB2312" w:cs="Times New Roman"/>
                <w:sz w:val="32"/>
                <w:szCs w:val="32"/>
              </w:rPr>
            </w:pPr>
          </w:p>
        </w:tc>
      </w:tr>
    </w:tbl>
    <w:p>
      <w:pPr>
        <w:spacing w:line="560" w:lineRule="exact"/>
        <w:rPr>
          <w:rFonts w:hint="default" w:ascii="Times New Roman" w:hAnsi="Times New Roman" w:eastAsia="仿宋_GB2312" w:cs="Times New Roman"/>
          <w:sz w:val="32"/>
          <w:szCs w:val="32"/>
        </w:rPr>
      </w:pPr>
    </w:p>
    <w:p>
      <w:pPr>
        <w:tabs>
          <w:tab w:val="left" w:pos="8460"/>
        </w:tabs>
        <w:rPr>
          <w:rFonts w:hint="default" w:ascii="Times New Roman" w:hAnsi="Times New Roman" w:eastAsia="黑体" w:cs="Times New Roman"/>
          <w:color w:val="auto"/>
          <w:sz w:val="32"/>
          <w:szCs w:val="32"/>
          <w:u w:val="single"/>
          <w:shd w:val="clear" w:color="auto" w:fill="FFFFFF"/>
        </w:rPr>
      </w:pPr>
    </w:p>
    <w:p>
      <w:pPr>
        <w:tabs>
          <w:tab w:val="left" w:pos="8460"/>
        </w:tabs>
        <w:rPr>
          <w:rFonts w:hint="default" w:ascii="Times New Roman" w:hAnsi="Times New Roman" w:eastAsia="黑体" w:cs="Times New Roman"/>
          <w:color w:val="auto"/>
          <w:sz w:val="32"/>
          <w:szCs w:val="32"/>
          <w:u w:val="single"/>
          <w:shd w:val="clear" w:color="auto" w:fill="FFFFFF"/>
        </w:rPr>
      </w:pPr>
    </w:p>
    <w:p>
      <w:pPr>
        <w:tabs>
          <w:tab w:val="left" w:pos="8460"/>
        </w:tabs>
        <w:rPr>
          <w:rFonts w:hint="default" w:ascii="Times New Roman" w:hAnsi="Times New Roman" w:eastAsia="黑体" w:cs="Times New Roman"/>
          <w:color w:val="auto"/>
          <w:sz w:val="32"/>
          <w:szCs w:val="32"/>
          <w:u w:val="single"/>
          <w:shd w:val="clear" w:color="auto" w:fill="FFFFFF"/>
        </w:rPr>
      </w:pPr>
    </w:p>
    <w:p>
      <w:pPr>
        <w:tabs>
          <w:tab w:val="left" w:pos="8460"/>
        </w:tabs>
        <w:rPr>
          <w:rFonts w:hint="default" w:ascii="Times New Roman" w:hAnsi="Times New Roman" w:eastAsia="黑体" w:cs="Times New Roman"/>
          <w:color w:val="auto"/>
          <w:sz w:val="32"/>
          <w:szCs w:val="32"/>
          <w:u w:val="singl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default" w:ascii="Times New Roman" w:hAnsi="Times New Roman" w:eastAsia="仿宋" w:cs="Times New Roman"/>
          <w:color w:val="auto"/>
          <w:sz w:val="32"/>
          <w:szCs w:val="32"/>
        </w:rPr>
      </w:pPr>
      <w:r>
        <w:rPr>
          <w:rFonts w:hint="default" w:ascii="Times New Roman" w:hAnsi="Times New Roman" w:cs="Times New Roman"/>
          <w:color w:val="auto"/>
          <w:sz w:val="32"/>
          <w:szCs w:val="32"/>
        </w:rPr>
        <w:pict>
          <v:line id="_x0000_s1027" o:spid="_x0000_s1027" o:spt="20" style="position:absolute;left:0pt;margin-top:1.3pt;height:0pt;width:459pt;mso-position-horizontal:center;z-index:251660288;mso-width-relative:page;mso-height-relative:page;" filled="f" coordsize="21600,21600">
            <v:path arrowok="t"/>
            <v:fill on="f" focussize="0,0"/>
            <v:stroke weight="1.25pt"/>
            <v:imagedata o:title=""/>
            <o:lock v:ext="edit"/>
          </v:line>
        </w:pict>
      </w:r>
      <w:r>
        <w:rPr>
          <w:rFonts w:hint="default" w:ascii="Times New Roman" w:hAnsi="Times New Roman" w:cs="Times New Roman"/>
          <w:color w:val="auto"/>
          <w:sz w:val="32"/>
        </w:rPr>
        <w:pict>
          <v:shape id="_x0000_s1029" o:spid="_x0000_s1029" o:spt="202" type="#_x0000_t202" style="position:absolute;left:0pt;margin-left:388.4pt;margin-top:38.1pt;height:38.4pt;width:74.1pt;z-index:251662336;mso-width-relative:page;mso-height-relative:page;" fillcolor="#FFFFFF" filled="t" stroked="t" coordsize="21600,21600">
            <v:path/>
            <v:fill on="t" color2="#FFFFFF" focussize="0,0"/>
            <v:stroke color="#FFFFFF"/>
            <v:imagedata o:title=""/>
            <o:lock v:ext="edit" aspectratio="f"/>
            <v:textbox>
              <w:txbxContent>
                <w:p/>
              </w:txbxContent>
            </v:textbox>
          </v:shape>
        </w:pict>
      </w:r>
      <w:r>
        <w:rPr>
          <w:rFonts w:hint="default" w:ascii="Times New Roman" w:hAnsi="Times New Roman" w:eastAsia="仿宋_GB2312" w:cs="Times New Roman"/>
          <w:color w:val="auto"/>
          <w:w w:val="100"/>
          <w:sz w:val="32"/>
          <w:szCs w:val="32"/>
        </w:rPr>
        <w:t>临沂市社会科学界联合会</w:t>
      </w:r>
      <w:r>
        <w:rPr>
          <w:rFonts w:hint="default" w:ascii="Times New Roman" w:hAnsi="Times New Roman" w:cs="Times New Roman"/>
          <w:color w:val="auto"/>
          <w:sz w:val="32"/>
          <w:szCs w:val="32"/>
        </w:rPr>
        <w:pict>
          <v:line id="_x0000_s1030" o:spid="_x0000_s1030" o:spt="20" style="position:absolute;left:0pt;margin-top:31.2pt;height:0pt;width:459pt;mso-position-horizontal:center;z-index:251661312;mso-width-relative:page;mso-height-relative:page;" filled="f" coordsize="21600,21600">
            <v:path arrowok="t"/>
            <v:fill on="f" focussize="0,0"/>
            <v:stroke weight="1.25pt"/>
            <v:imagedata o:title=""/>
            <o:lock v:ext="edit"/>
          </v:line>
        </w:pict>
      </w:r>
      <w:r>
        <w:rPr>
          <w:rFonts w:hint="default" w:ascii="Times New Roman" w:hAnsi="Times New Roman" w:eastAsia="仿宋_GB2312" w:cs="Times New Roman"/>
          <w:color w:val="auto"/>
          <w:w w:val="100"/>
          <w:sz w:val="32"/>
          <w:szCs w:val="32"/>
          <w:lang w:eastAsia="zh-CN"/>
        </w:rPr>
        <w:t>办公室</w:t>
      </w:r>
      <w:r>
        <w:rPr>
          <w:rFonts w:hint="default"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sz w:val="32"/>
          <w:szCs w:val="32"/>
          <w:shd w:val="clear" w:color="auto" w:fill="FFFFFF"/>
        </w:rPr>
        <w:t>201</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rPr>
        <w:t>日印发</w:t>
      </w:r>
    </w:p>
    <w:sectPr>
      <w:footerReference r:id="rId4" w:type="default"/>
      <w:headerReference r:id="rId3" w:type="even"/>
      <w:footerReference r:id="rId5" w:type="even"/>
      <w:pgSz w:w="11906" w:h="16838"/>
      <w:pgMar w:top="1701"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0803"/>
    <w:rsid w:val="000064CB"/>
    <w:rsid w:val="00065890"/>
    <w:rsid w:val="000F0791"/>
    <w:rsid w:val="00102676"/>
    <w:rsid w:val="0011719B"/>
    <w:rsid w:val="00184AA4"/>
    <w:rsid w:val="00287B24"/>
    <w:rsid w:val="002C674C"/>
    <w:rsid w:val="00310657"/>
    <w:rsid w:val="003E0B3A"/>
    <w:rsid w:val="00401CDA"/>
    <w:rsid w:val="00480875"/>
    <w:rsid w:val="004A1187"/>
    <w:rsid w:val="005049F5"/>
    <w:rsid w:val="005325DE"/>
    <w:rsid w:val="00556F22"/>
    <w:rsid w:val="00641E03"/>
    <w:rsid w:val="00651273"/>
    <w:rsid w:val="00697C9A"/>
    <w:rsid w:val="007D2589"/>
    <w:rsid w:val="007E0803"/>
    <w:rsid w:val="00867EAE"/>
    <w:rsid w:val="008C6F38"/>
    <w:rsid w:val="009203DB"/>
    <w:rsid w:val="00964A41"/>
    <w:rsid w:val="00A378F4"/>
    <w:rsid w:val="00A40A8B"/>
    <w:rsid w:val="00C16B8A"/>
    <w:rsid w:val="00CA395C"/>
    <w:rsid w:val="00CD44DF"/>
    <w:rsid w:val="00D079BC"/>
    <w:rsid w:val="00D25A91"/>
    <w:rsid w:val="00D945AC"/>
    <w:rsid w:val="00DD67EC"/>
    <w:rsid w:val="00E31377"/>
    <w:rsid w:val="00E54E55"/>
    <w:rsid w:val="2D800D39"/>
    <w:rsid w:val="2E8736AE"/>
    <w:rsid w:val="56A96AD3"/>
    <w:rsid w:val="5DAD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qFormat/>
    <w:uiPriority w:val="0"/>
    <w:pPr>
      <w:ind w:firstLine="733" w:firstLineChars="229"/>
    </w:pPr>
    <w:rPr>
      <w:rFonts w:ascii="仿宋_GB2312" w:hAnsi="Times New Roman" w:eastAsia="仿宋_GB2312" w:cs="仿宋_GB2312"/>
      <w:sz w:val="32"/>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日期 Char"/>
    <w:basedOn w:val="9"/>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1026"/>
    <customShpInfo spid="_x0000_s102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428</Words>
  <Characters>2445</Characters>
  <Lines>20</Lines>
  <Paragraphs>5</Paragraphs>
  <TotalTime>10</TotalTime>
  <ScaleCrop>false</ScaleCrop>
  <LinksUpToDate>false</LinksUpToDate>
  <CharactersWithSpaces>2868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2019-03-18T03:25:00Z</dcterms:created>
  <dc:creator>微软用户</dc:creator>
  <cp:lastModifiedBy>土麦</cp:lastModifiedBy>
  <cp:lastPrinted>2019-03-18T09:38:00Z</cp:lastPrinted>
  <dcterms:modified xsi:type="dcterms:W3CDTF">2019-03-19T06:52:34Z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